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29385" w14:textId="77777777" w:rsidR="002C210F" w:rsidRDefault="002C210F"/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8E0822" w14:paraId="56604C9C" w14:textId="77777777" w:rsidTr="008E0822">
        <w:tc>
          <w:tcPr>
            <w:tcW w:w="9889" w:type="dxa"/>
          </w:tcPr>
          <w:p w14:paraId="3BF23526" w14:textId="5FA855BC" w:rsidR="008E0822" w:rsidRDefault="008E0822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468A3F1A" wp14:editId="57EDF4EC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DD8DB" w14:textId="77777777" w:rsidR="008E0822" w:rsidRDefault="008E0822">
            <w:pPr>
              <w:suppressAutoHyphens/>
              <w:jc w:val="center"/>
            </w:pPr>
          </w:p>
          <w:p w14:paraId="20A53289" w14:textId="77777777"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14:paraId="7C907799" w14:textId="77777777"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14:paraId="4D4933E0" w14:textId="77777777" w:rsidR="008E0822" w:rsidRDefault="008E0822">
            <w:pPr>
              <w:suppressAutoHyphens/>
              <w:jc w:val="center"/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F0F33" wp14:editId="14270F44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9A5948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      </w:pict>
                </mc:Fallback>
              </mc:AlternateContent>
            </w:r>
          </w:p>
          <w:p w14:paraId="0C57E5A1" w14:textId="77777777" w:rsidR="008E0822" w:rsidRDefault="008E0822" w:rsidP="008E082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889" w:type="dxa"/>
          </w:tcPr>
          <w:p w14:paraId="23110F62" w14:textId="77777777" w:rsidR="008E0822" w:rsidRDefault="008E0822">
            <w:pPr>
              <w:suppressAutoHyphens/>
              <w:jc w:val="center"/>
            </w:pPr>
          </w:p>
        </w:tc>
        <w:tc>
          <w:tcPr>
            <w:tcW w:w="9889" w:type="dxa"/>
          </w:tcPr>
          <w:p w14:paraId="6087D76D" w14:textId="77777777" w:rsidR="008E0822" w:rsidRDefault="008E0822">
            <w:pPr>
              <w:suppressAutoHyphens/>
              <w:jc w:val="center"/>
            </w:pPr>
          </w:p>
        </w:tc>
      </w:tr>
    </w:tbl>
    <w:p w14:paraId="4767D89C" w14:textId="77777777" w:rsidR="008E0822" w:rsidRDefault="008E0822" w:rsidP="008E0822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5EDADA3" w14:textId="77777777" w:rsidR="008E0822" w:rsidRDefault="008E0822" w:rsidP="008E082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по результатам проведения экспертно-аналитического мероприятия </w:t>
      </w:r>
    </w:p>
    <w:p w14:paraId="46E392D9" w14:textId="2D6C871B" w:rsidR="005C5FB4" w:rsidRDefault="008E0822" w:rsidP="00D208AA">
      <w:pPr>
        <w:jc w:val="center"/>
        <w:rPr>
          <w:rFonts w:cstheme="minorBidi"/>
          <w:b/>
          <w:sz w:val="28"/>
          <w:szCs w:val="28"/>
        </w:rPr>
      </w:pPr>
      <w:r>
        <w:rPr>
          <w:b/>
          <w:bCs/>
          <w:sz w:val="28"/>
          <w:szCs w:val="28"/>
        </w:rPr>
        <w:t>«М</w:t>
      </w:r>
      <w:r>
        <w:rPr>
          <w:b/>
          <w:sz w:val="28"/>
          <w:szCs w:val="28"/>
        </w:rPr>
        <w:t>ониторинга исполнения региональных проектов за 1 квартал 202</w:t>
      </w:r>
      <w:r w:rsidR="0008657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г.»</w:t>
      </w:r>
    </w:p>
    <w:p w14:paraId="747889DD" w14:textId="77777777" w:rsidR="00D208AA" w:rsidRPr="00D208AA" w:rsidRDefault="00D208AA" w:rsidP="00D208AA">
      <w:pPr>
        <w:jc w:val="center"/>
        <w:rPr>
          <w:rFonts w:cstheme="minorBidi"/>
          <w:b/>
          <w:sz w:val="28"/>
          <w:szCs w:val="28"/>
        </w:rPr>
      </w:pPr>
    </w:p>
    <w:p w14:paraId="2ECC12EA" w14:textId="77777777" w:rsidR="00D208AA" w:rsidRDefault="00D208AA" w:rsidP="00D208A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Экспертно-аналитическое мероприятие проведено в рамках полномочий органа внешнего муниципального финансового контроля, предусмотренных пунктом 9 части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65FE748C" w14:textId="77777777" w:rsidR="00D208AA" w:rsidRDefault="00D208AA" w:rsidP="00D208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исполнения региональных проектов                          за 1 квартал 2024 г. отражены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9F465B">
        <w:rPr>
          <w:sz w:val="28"/>
          <w:szCs w:val="28"/>
        </w:rPr>
        <w:t>№</w:t>
      </w:r>
      <w:r>
        <w:rPr>
          <w:sz w:val="28"/>
          <w:szCs w:val="28"/>
        </w:rPr>
        <w:t>53</w:t>
      </w:r>
      <w:r w:rsidRPr="009F465B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9F465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F465B">
        <w:rPr>
          <w:sz w:val="28"/>
          <w:szCs w:val="28"/>
        </w:rPr>
        <w:t>.202</w:t>
      </w:r>
      <w:r>
        <w:rPr>
          <w:sz w:val="28"/>
          <w:szCs w:val="28"/>
        </w:rPr>
        <w:t>4г</w:t>
      </w:r>
      <w:r w:rsidRPr="009F465B">
        <w:rPr>
          <w:sz w:val="28"/>
          <w:szCs w:val="28"/>
        </w:rPr>
        <w:t>.</w:t>
      </w:r>
    </w:p>
    <w:p w14:paraId="66FB925F" w14:textId="68570E12" w:rsidR="00D208AA" w:rsidRPr="00E844A8" w:rsidRDefault="00E844A8" w:rsidP="00E844A8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0" wp14:anchorId="594B63A8" wp14:editId="53519B04">
            <wp:simplePos x="0" y="0"/>
            <wp:positionH relativeFrom="column">
              <wp:posOffset>-357146</wp:posOffset>
            </wp:positionH>
            <wp:positionV relativeFrom="paragraph">
              <wp:posOffset>190528</wp:posOffset>
            </wp:positionV>
            <wp:extent cx="1216025" cy="866140"/>
            <wp:effectExtent l="0" t="0" r="3175" b="10160"/>
            <wp:wrapThrough wrapText="bothSides">
              <wp:wrapPolygon edited="0">
                <wp:start x="0" y="0"/>
                <wp:lineTo x="0" y="21378"/>
                <wp:lineTo x="21318" y="21378"/>
                <wp:lineTo x="21318" y="0"/>
                <wp:lineTo x="0" y="0"/>
              </wp:wrapPolygon>
            </wp:wrapThrough>
            <wp:docPr id="18538223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8AA" w:rsidRPr="00356FC1">
        <w:rPr>
          <w:sz w:val="28"/>
          <w:szCs w:val="28"/>
        </w:rPr>
        <w:t xml:space="preserve">1. </w:t>
      </w:r>
      <w:r w:rsidR="00D208AA">
        <w:rPr>
          <w:sz w:val="28"/>
          <w:szCs w:val="28"/>
        </w:rPr>
        <w:t xml:space="preserve">В </w:t>
      </w:r>
      <w:r w:rsidR="00D208AA">
        <w:rPr>
          <w:color w:val="000000"/>
          <w:sz w:val="28"/>
          <w:szCs w:val="28"/>
        </w:rPr>
        <w:t>2024 году</w:t>
      </w:r>
      <w:r w:rsidR="00D208AA" w:rsidRPr="00693A39">
        <w:rPr>
          <w:bCs/>
          <w:sz w:val="28"/>
          <w:szCs w:val="28"/>
        </w:rPr>
        <w:t xml:space="preserve"> </w:t>
      </w:r>
      <w:r w:rsidR="00D208AA">
        <w:rPr>
          <w:bCs/>
          <w:sz w:val="28"/>
          <w:szCs w:val="28"/>
        </w:rPr>
        <w:t xml:space="preserve">в рамках пяти </w:t>
      </w:r>
      <w:r w:rsidR="00D208AA" w:rsidRPr="00A51CF9">
        <w:rPr>
          <w:bCs/>
          <w:sz w:val="28"/>
          <w:szCs w:val="28"/>
        </w:rPr>
        <w:t>национальных проектов</w:t>
      </w:r>
      <w:r w:rsidR="00D208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="00D208AA">
        <w:rPr>
          <w:color w:val="000000"/>
          <w:sz w:val="28"/>
          <w:szCs w:val="28"/>
        </w:rPr>
        <w:t xml:space="preserve">в Златоустовском городском округе запланировано исполнение десяти </w:t>
      </w:r>
      <w:r w:rsidR="00D208AA">
        <w:rPr>
          <w:bCs/>
          <w:sz w:val="28"/>
          <w:szCs w:val="28"/>
        </w:rPr>
        <w:t>региональных</w:t>
      </w:r>
      <w:r w:rsidR="00D208AA" w:rsidRPr="00D43C11">
        <w:rPr>
          <w:bCs/>
          <w:sz w:val="28"/>
          <w:szCs w:val="28"/>
        </w:rPr>
        <w:t xml:space="preserve"> проектов</w:t>
      </w:r>
      <w:r w:rsidR="00D208AA" w:rsidRPr="009C2E05">
        <w:rPr>
          <w:sz w:val="28"/>
          <w:szCs w:val="28"/>
        </w:rPr>
        <w:t xml:space="preserve"> </w:t>
      </w:r>
      <w:r w:rsidR="00D208AA">
        <w:rPr>
          <w:sz w:val="28"/>
          <w:szCs w:val="28"/>
        </w:rPr>
        <w:t>Челябинской области</w:t>
      </w:r>
      <w:r w:rsidR="00D208AA">
        <w:rPr>
          <w:bCs/>
          <w:sz w:val="28"/>
          <w:szCs w:val="28"/>
        </w:rPr>
        <w:t>, на реализацию которых предусмотрены бюджетные средства в общем объеме 348 125,1 тыс. рублей (4,6% от общего объема бюджетных ассигнований округа).</w:t>
      </w:r>
    </w:p>
    <w:p w14:paraId="359C0F11" w14:textId="77777777" w:rsidR="00D208AA" w:rsidRPr="00D208AA" w:rsidRDefault="00D208AA" w:rsidP="00D208AA">
      <w:pPr>
        <w:ind w:firstLine="567"/>
        <w:jc w:val="right"/>
        <w:rPr>
          <w:rFonts w:eastAsia="Calibri"/>
          <w:bCs/>
          <w:lang w:eastAsia="en-US"/>
        </w:rPr>
      </w:pPr>
      <w:r w:rsidRPr="00D208AA">
        <w:rPr>
          <w:rFonts w:eastAsia="Calibri"/>
          <w:bCs/>
          <w:lang w:eastAsia="en-US"/>
        </w:rPr>
        <w:t>Таблица №1</w:t>
      </w:r>
    </w:p>
    <w:p w14:paraId="5BD5D6BE" w14:textId="3BD52AA5" w:rsidR="00D208AA" w:rsidRPr="00D208AA" w:rsidRDefault="00D208AA" w:rsidP="00D208AA">
      <w:pPr>
        <w:ind w:firstLine="567"/>
        <w:jc w:val="right"/>
        <w:rPr>
          <w:rFonts w:eastAsia="Calibri"/>
          <w:bCs/>
          <w:lang w:eastAsia="en-US"/>
        </w:rPr>
      </w:pPr>
      <w:r w:rsidRPr="00D208AA">
        <w:rPr>
          <w:rFonts w:eastAsia="Calibri"/>
          <w:bCs/>
          <w:lang w:eastAsia="en-US"/>
        </w:rPr>
        <w:t>Ед. измерения: тыс. рублей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5812"/>
        <w:gridCol w:w="1417"/>
      </w:tblGrid>
      <w:tr w:rsidR="00D208AA" w:rsidRPr="00D636FC" w14:paraId="378AC06C" w14:textId="77777777" w:rsidTr="00EE068A">
        <w:trPr>
          <w:trHeight w:val="595"/>
          <w:tblHeader/>
        </w:trPr>
        <w:tc>
          <w:tcPr>
            <w:tcW w:w="1194" w:type="pct"/>
            <w:shd w:val="clear" w:color="auto" w:fill="auto"/>
            <w:vAlign w:val="center"/>
          </w:tcPr>
          <w:p w14:paraId="50A6758C" w14:textId="0C998E41" w:rsidR="00D208AA" w:rsidRPr="00D636FC" w:rsidRDefault="00D208AA" w:rsidP="00EE068A">
            <w:pPr>
              <w:ind w:firstLine="37"/>
              <w:jc w:val="center"/>
            </w:pPr>
            <w:r w:rsidRPr="00D636FC">
              <w:t>Национальный проект</w:t>
            </w:r>
          </w:p>
        </w:tc>
        <w:tc>
          <w:tcPr>
            <w:tcW w:w="3060" w:type="pct"/>
            <w:shd w:val="clear" w:color="auto" w:fill="auto"/>
            <w:vAlign w:val="center"/>
          </w:tcPr>
          <w:p w14:paraId="1CF86F6C" w14:textId="77777777" w:rsidR="00D208AA" w:rsidRPr="00D636FC" w:rsidRDefault="00D208AA" w:rsidP="00EE068A">
            <w:pPr>
              <w:ind w:firstLine="37"/>
              <w:jc w:val="center"/>
            </w:pPr>
            <w:r w:rsidRPr="00D636FC">
              <w:t>Региональный проект</w:t>
            </w:r>
          </w:p>
        </w:tc>
        <w:tc>
          <w:tcPr>
            <w:tcW w:w="746" w:type="pct"/>
          </w:tcPr>
          <w:p w14:paraId="01D7314B" w14:textId="77777777" w:rsidR="00D208AA" w:rsidRPr="00D636FC" w:rsidRDefault="00D208AA" w:rsidP="00EE068A">
            <w:pPr>
              <w:ind w:firstLine="37"/>
              <w:jc w:val="center"/>
            </w:pPr>
            <w:r>
              <w:t>Бюджетные ассигнования</w:t>
            </w:r>
          </w:p>
        </w:tc>
      </w:tr>
      <w:tr w:rsidR="00D208AA" w:rsidRPr="00D636FC" w14:paraId="639DE773" w14:textId="77777777" w:rsidTr="00EE068A">
        <w:trPr>
          <w:trHeight w:val="70"/>
        </w:trPr>
        <w:tc>
          <w:tcPr>
            <w:tcW w:w="1194" w:type="pct"/>
            <w:vMerge w:val="restart"/>
            <w:shd w:val="clear" w:color="auto" w:fill="auto"/>
            <w:vAlign w:val="center"/>
          </w:tcPr>
          <w:p w14:paraId="6104AF39" w14:textId="13667B08" w:rsidR="00D208AA" w:rsidRPr="00D636FC" w:rsidRDefault="00D208AA" w:rsidP="00EE068A">
            <w:pPr>
              <w:ind w:firstLine="37"/>
            </w:pPr>
            <w:r w:rsidRPr="00D636FC">
              <w:t>Экология</w:t>
            </w:r>
          </w:p>
        </w:tc>
        <w:tc>
          <w:tcPr>
            <w:tcW w:w="3060" w:type="pct"/>
            <w:shd w:val="clear" w:color="auto" w:fill="auto"/>
            <w:vAlign w:val="center"/>
          </w:tcPr>
          <w:p w14:paraId="0BC31333" w14:textId="77777777" w:rsidR="00D208AA" w:rsidRPr="00D636FC" w:rsidRDefault="00D208AA" w:rsidP="00EE068A">
            <w:pPr>
              <w:ind w:firstLine="37"/>
              <w:jc w:val="both"/>
            </w:pPr>
            <w:r w:rsidRPr="00D636FC">
              <w:t>«Чистая страна»</w:t>
            </w:r>
          </w:p>
        </w:tc>
        <w:tc>
          <w:tcPr>
            <w:tcW w:w="746" w:type="pct"/>
          </w:tcPr>
          <w:p w14:paraId="55C437CF" w14:textId="77777777" w:rsidR="00D208AA" w:rsidRPr="00D636FC" w:rsidRDefault="00D208AA" w:rsidP="00EE068A">
            <w:pPr>
              <w:ind w:firstLine="37"/>
              <w:jc w:val="right"/>
            </w:pPr>
            <w:r>
              <w:t>250 035,9</w:t>
            </w:r>
          </w:p>
        </w:tc>
      </w:tr>
      <w:tr w:rsidR="00D208AA" w:rsidRPr="00D636FC" w14:paraId="4FA3EDE9" w14:textId="77777777" w:rsidTr="00EE068A">
        <w:trPr>
          <w:trHeight w:val="70"/>
        </w:trPr>
        <w:tc>
          <w:tcPr>
            <w:tcW w:w="1194" w:type="pct"/>
            <w:vMerge/>
            <w:shd w:val="clear" w:color="auto" w:fill="auto"/>
            <w:vAlign w:val="center"/>
          </w:tcPr>
          <w:p w14:paraId="3BC50C28" w14:textId="77777777" w:rsidR="00D208AA" w:rsidRPr="00D636FC" w:rsidRDefault="00D208AA" w:rsidP="00EE068A">
            <w:pPr>
              <w:ind w:firstLine="37"/>
            </w:pPr>
          </w:p>
        </w:tc>
        <w:tc>
          <w:tcPr>
            <w:tcW w:w="3060" w:type="pct"/>
            <w:shd w:val="clear" w:color="auto" w:fill="auto"/>
            <w:vAlign w:val="center"/>
          </w:tcPr>
          <w:p w14:paraId="11702B28" w14:textId="77777777" w:rsidR="00D208AA" w:rsidRPr="00D636FC" w:rsidRDefault="00D208AA" w:rsidP="00EE068A">
            <w:pPr>
              <w:ind w:firstLine="37"/>
              <w:jc w:val="both"/>
            </w:pPr>
            <w:r w:rsidRPr="009A2078">
              <w:t>«Комплексная система обращения с твердыми коммунальными отходами»</w:t>
            </w:r>
          </w:p>
        </w:tc>
        <w:tc>
          <w:tcPr>
            <w:tcW w:w="746" w:type="pct"/>
          </w:tcPr>
          <w:p w14:paraId="17346218" w14:textId="77777777" w:rsidR="00D208AA" w:rsidRPr="00D636FC" w:rsidRDefault="00D208AA" w:rsidP="00EE068A">
            <w:pPr>
              <w:ind w:firstLine="37"/>
              <w:jc w:val="right"/>
            </w:pPr>
            <w:r>
              <w:t>3 285,6</w:t>
            </w:r>
          </w:p>
        </w:tc>
      </w:tr>
      <w:tr w:rsidR="00D208AA" w:rsidRPr="00D636FC" w14:paraId="50B80299" w14:textId="77777777" w:rsidTr="00EE068A">
        <w:trPr>
          <w:trHeight w:val="118"/>
        </w:trPr>
        <w:tc>
          <w:tcPr>
            <w:tcW w:w="1194" w:type="pct"/>
            <w:vMerge w:val="restart"/>
            <w:shd w:val="clear" w:color="auto" w:fill="auto"/>
            <w:vAlign w:val="center"/>
          </w:tcPr>
          <w:p w14:paraId="5EEAF084" w14:textId="4C1C8568" w:rsidR="00D208AA" w:rsidRPr="00D636FC" w:rsidRDefault="00D208AA" w:rsidP="00EE068A">
            <w:pPr>
              <w:ind w:firstLine="37"/>
            </w:pPr>
            <w:r w:rsidRPr="00D636FC">
              <w:t>Образование</w:t>
            </w:r>
          </w:p>
        </w:tc>
        <w:tc>
          <w:tcPr>
            <w:tcW w:w="3060" w:type="pct"/>
            <w:shd w:val="clear" w:color="auto" w:fill="auto"/>
          </w:tcPr>
          <w:p w14:paraId="7619CEDE" w14:textId="77777777" w:rsidR="00D208AA" w:rsidRPr="00D636FC" w:rsidRDefault="00D208AA" w:rsidP="00EE068A">
            <w:pPr>
              <w:ind w:firstLine="37"/>
              <w:jc w:val="both"/>
            </w:pPr>
            <w:r w:rsidRPr="00D636FC">
              <w:t>«Патриотическое воспитание граждан РФ»</w:t>
            </w:r>
          </w:p>
        </w:tc>
        <w:tc>
          <w:tcPr>
            <w:tcW w:w="746" w:type="pct"/>
          </w:tcPr>
          <w:p w14:paraId="57220F76" w14:textId="77777777" w:rsidR="00D208AA" w:rsidRPr="00D636FC" w:rsidRDefault="00D208AA" w:rsidP="00EE068A">
            <w:pPr>
              <w:ind w:firstLine="37"/>
              <w:jc w:val="right"/>
            </w:pPr>
            <w:r>
              <w:t>7 094,6</w:t>
            </w:r>
          </w:p>
        </w:tc>
      </w:tr>
      <w:tr w:rsidR="00D208AA" w:rsidRPr="00D636FC" w14:paraId="37BC066B" w14:textId="77777777" w:rsidTr="00EE068A">
        <w:trPr>
          <w:trHeight w:val="70"/>
        </w:trPr>
        <w:tc>
          <w:tcPr>
            <w:tcW w:w="1194" w:type="pct"/>
            <w:vMerge/>
            <w:shd w:val="clear" w:color="auto" w:fill="auto"/>
            <w:vAlign w:val="center"/>
          </w:tcPr>
          <w:p w14:paraId="3E489487" w14:textId="77777777" w:rsidR="00D208AA" w:rsidRPr="00D636FC" w:rsidRDefault="00D208AA" w:rsidP="00EE068A">
            <w:pPr>
              <w:ind w:firstLine="37"/>
            </w:pPr>
          </w:p>
        </w:tc>
        <w:tc>
          <w:tcPr>
            <w:tcW w:w="3060" w:type="pct"/>
            <w:shd w:val="clear" w:color="auto" w:fill="auto"/>
          </w:tcPr>
          <w:p w14:paraId="0176DCEF" w14:textId="77777777" w:rsidR="00D208AA" w:rsidRPr="00D636FC" w:rsidRDefault="00D208AA" w:rsidP="00EE068A">
            <w:pPr>
              <w:ind w:firstLine="37"/>
              <w:jc w:val="both"/>
            </w:pPr>
            <w:r w:rsidRPr="00D636FC">
              <w:t>«Современная школа»</w:t>
            </w:r>
          </w:p>
        </w:tc>
        <w:tc>
          <w:tcPr>
            <w:tcW w:w="746" w:type="pct"/>
          </w:tcPr>
          <w:p w14:paraId="480660CA" w14:textId="77777777" w:rsidR="00D208AA" w:rsidRPr="00D636FC" w:rsidRDefault="00D208AA" w:rsidP="00EE068A">
            <w:pPr>
              <w:ind w:firstLine="37"/>
              <w:jc w:val="right"/>
            </w:pPr>
            <w:r>
              <w:t>7 641,5</w:t>
            </w:r>
          </w:p>
        </w:tc>
      </w:tr>
      <w:tr w:rsidR="00D208AA" w:rsidRPr="00D636FC" w14:paraId="150C4DAF" w14:textId="77777777" w:rsidTr="00EE068A">
        <w:trPr>
          <w:trHeight w:val="70"/>
        </w:trPr>
        <w:tc>
          <w:tcPr>
            <w:tcW w:w="1194" w:type="pct"/>
            <w:vMerge/>
            <w:shd w:val="clear" w:color="auto" w:fill="auto"/>
            <w:vAlign w:val="center"/>
          </w:tcPr>
          <w:p w14:paraId="434EFE6E" w14:textId="77777777" w:rsidR="00D208AA" w:rsidRPr="00D636FC" w:rsidRDefault="00D208AA" w:rsidP="00EE068A">
            <w:pPr>
              <w:ind w:firstLine="37"/>
            </w:pPr>
          </w:p>
        </w:tc>
        <w:tc>
          <w:tcPr>
            <w:tcW w:w="3060" w:type="pct"/>
            <w:shd w:val="clear" w:color="auto" w:fill="auto"/>
          </w:tcPr>
          <w:p w14:paraId="48838758" w14:textId="77777777" w:rsidR="00D208AA" w:rsidRPr="00D636FC" w:rsidRDefault="00D208AA" w:rsidP="00EE068A">
            <w:pPr>
              <w:ind w:firstLine="37"/>
              <w:jc w:val="both"/>
            </w:pPr>
            <w:r w:rsidRPr="00D636FC">
              <w:t>«Социальная активность»</w:t>
            </w:r>
          </w:p>
        </w:tc>
        <w:tc>
          <w:tcPr>
            <w:tcW w:w="746" w:type="pct"/>
          </w:tcPr>
          <w:p w14:paraId="78EC1C73" w14:textId="77777777" w:rsidR="00D208AA" w:rsidRPr="00D636FC" w:rsidRDefault="00D208AA" w:rsidP="00EE068A">
            <w:pPr>
              <w:ind w:firstLine="37"/>
              <w:jc w:val="right"/>
            </w:pPr>
            <w:r>
              <w:t>395,0</w:t>
            </w:r>
          </w:p>
        </w:tc>
      </w:tr>
      <w:tr w:rsidR="00D208AA" w:rsidRPr="00D636FC" w14:paraId="3BA3E519" w14:textId="77777777" w:rsidTr="00EE068A">
        <w:trPr>
          <w:trHeight w:val="70"/>
        </w:trPr>
        <w:tc>
          <w:tcPr>
            <w:tcW w:w="1194" w:type="pct"/>
            <w:shd w:val="clear" w:color="auto" w:fill="auto"/>
            <w:vAlign w:val="center"/>
          </w:tcPr>
          <w:p w14:paraId="140CE740" w14:textId="066DB7AA" w:rsidR="00D208AA" w:rsidRPr="00D636FC" w:rsidRDefault="00D208AA" w:rsidP="00EE068A">
            <w:pPr>
              <w:ind w:firstLine="37"/>
            </w:pPr>
            <w:r w:rsidRPr="00D636FC">
              <w:t>Культура</w:t>
            </w:r>
          </w:p>
        </w:tc>
        <w:tc>
          <w:tcPr>
            <w:tcW w:w="3060" w:type="pct"/>
            <w:shd w:val="clear" w:color="auto" w:fill="auto"/>
          </w:tcPr>
          <w:p w14:paraId="4E105053" w14:textId="77777777" w:rsidR="00D208AA" w:rsidRPr="00D636FC" w:rsidRDefault="00D208AA" w:rsidP="00EE068A">
            <w:pPr>
              <w:ind w:firstLine="37"/>
              <w:jc w:val="both"/>
            </w:pPr>
            <w:r w:rsidRPr="00D636FC">
              <w:t>«</w:t>
            </w:r>
            <w:r w:rsidRPr="009A2078">
              <w:t>Культурная среда</w:t>
            </w:r>
            <w:r w:rsidRPr="00D636FC">
              <w:t>»</w:t>
            </w:r>
          </w:p>
        </w:tc>
        <w:tc>
          <w:tcPr>
            <w:tcW w:w="746" w:type="pct"/>
          </w:tcPr>
          <w:p w14:paraId="62E66454" w14:textId="77777777" w:rsidR="00D208AA" w:rsidRPr="00D636FC" w:rsidRDefault="00D208AA" w:rsidP="00EE068A">
            <w:pPr>
              <w:ind w:firstLine="37"/>
              <w:jc w:val="right"/>
            </w:pPr>
            <w:r>
              <w:t>6 100,8</w:t>
            </w:r>
          </w:p>
        </w:tc>
      </w:tr>
      <w:tr w:rsidR="00D208AA" w:rsidRPr="00D636FC" w14:paraId="4677DE3E" w14:textId="77777777" w:rsidTr="00EE068A">
        <w:trPr>
          <w:trHeight w:val="225"/>
        </w:trPr>
        <w:tc>
          <w:tcPr>
            <w:tcW w:w="1194" w:type="pct"/>
            <w:vMerge w:val="restart"/>
            <w:shd w:val="clear" w:color="auto" w:fill="auto"/>
            <w:vAlign w:val="center"/>
          </w:tcPr>
          <w:p w14:paraId="1998D038" w14:textId="61D50181" w:rsidR="00D208AA" w:rsidRPr="00D636FC" w:rsidRDefault="00D208AA" w:rsidP="00EE068A">
            <w:pPr>
              <w:autoSpaceDE w:val="0"/>
              <w:autoSpaceDN w:val="0"/>
              <w:adjustRightInd w:val="0"/>
            </w:pPr>
            <w:r w:rsidRPr="00D636FC">
              <w:t>Демография</w:t>
            </w:r>
          </w:p>
        </w:tc>
        <w:tc>
          <w:tcPr>
            <w:tcW w:w="3060" w:type="pct"/>
            <w:shd w:val="clear" w:color="auto" w:fill="auto"/>
          </w:tcPr>
          <w:p w14:paraId="1678A98C" w14:textId="77777777" w:rsidR="00D208AA" w:rsidRPr="00D636FC" w:rsidRDefault="00D208AA" w:rsidP="00EE068A">
            <w:pPr>
              <w:jc w:val="both"/>
            </w:pPr>
            <w:r w:rsidRPr="00D636FC">
              <w:t xml:space="preserve">«Разработка и реализация программы системной поддержки и повышения </w:t>
            </w:r>
            <w:proofErr w:type="gramStart"/>
            <w:r w:rsidRPr="00D636FC">
              <w:t>качества жизни граждан старшего поколения</w:t>
            </w:r>
            <w:proofErr w:type="gramEnd"/>
            <w:r w:rsidRPr="00D636FC">
              <w:t>»</w:t>
            </w:r>
          </w:p>
        </w:tc>
        <w:tc>
          <w:tcPr>
            <w:tcW w:w="746" w:type="pct"/>
          </w:tcPr>
          <w:p w14:paraId="2E0D11FD" w14:textId="77777777" w:rsidR="00D208AA" w:rsidRPr="00D636FC" w:rsidRDefault="00D208AA" w:rsidP="00EE068A">
            <w:pPr>
              <w:jc w:val="right"/>
            </w:pPr>
            <w:r>
              <w:t>8 975,2</w:t>
            </w:r>
          </w:p>
        </w:tc>
      </w:tr>
      <w:tr w:rsidR="00D208AA" w:rsidRPr="00D636FC" w14:paraId="7CF30F0B" w14:textId="77777777" w:rsidTr="00EE068A">
        <w:trPr>
          <w:trHeight w:val="225"/>
        </w:trPr>
        <w:tc>
          <w:tcPr>
            <w:tcW w:w="1194" w:type="pct"/>
            <w:vMerge/>
            <w:shd w:val="clear" w:color="auto" w:fill="auto"/>
            <w:vAlign w:val="center"/>
          </w:tcPr>
          <w:p w14:paraId="7F95C75D" w14:textId="77777777" w:rsidR="00D208AA" w:rsidRPr="00D636FC" w:rsidRDefault="00D208AA" w:rsidP="00EE068A">
            <w:pPr>
              <w:autoSpaceDE w:val="0"/>
              <w:autoSpaceDN w:val="0"/>
              <w:adjustRightInd w:val="0"/>
            </w:pPr>
          </w:p>
        </w:tc>
        <w:tc>
          <w:tcPr>
            <w:tcW w:w="3060" w:type="pct"/>
            <w:shd w:val="clear" w:color="auto" w:fill="auto"/>
          </w:tcPr>
          <w:p w14:paraId="300E28A2" w14:textId="77777777" w:rsidR="00D208AA" w:rsidRPr="00D636FC" w:rsidRDefault="00D208AA" w:rsidP="00EE068A">
            <w:pPr>
              <w:jc w:val="both"/>
            </w:pPr>
            <w:r w:rsidRPr="00D636FC">
              <w:t>«Финансовая поддержка семей при рождении детей»</w:t>
            </w:r>
          </w:p>
        </w:tc>
        <w:tc>
          <w:tcPr>
            <w:tcW w:w="746" w:type="pct"/>
          </w:tcPr>
          <w:p w14:paraId="2A398D6B" w14:textId="77777777" w:rsidR="00D208AA" w:rsidRPr="00D636FC" w:rsidRDefault="00D208AA" w:rsidP="00EE068A">
            <w:pPr>
              <w:jc w:val="right"/>
            </w:pPr>
            <w:r>
              <w:t>4 612,1</w:t>
            </w:r>
          </w:p>
        </w:tc>
      </w:tr>
      <w:tr w:rsidR="00D208AA" w:rsidRPr="00D636FC" w14:paraId="62CC64D0" w14:textId="77777777" w:rsidTr="00EE068A">
        <w:trPr>
          <w:trHeight w:val="225"/>
        </w:trPr>
        <w:tc>
          <w:tcPr>
            <w:tcW w:w="1194" w:type="pct"/>
            <w:vMerge/>
            <w:shd w:val="clear" w:color="auto" w:fill="auto"/>
            <w:vAlign w:val="center"/>
          </w:tcPr>
          <w:p w14:paraId="13951CA6" w14:textId="77777777" w:rsidR="00D208AA" w:rsidRPr="00D636FC" w:rsidRDefault="00D208AA" w:rsidP="00EE068A">
            <w:pPr>
              <w:autoSpaceDE w:val="0"/>
              <w:autoSpaceDN w:val="0"/>
              <w:adjustRightInd w:val="0"/>
            </w:pPr>
          </w:p>
        </w:tc>
        <w:tc>
          <w:tcPr>
            <w:tcW w:w="3060" w:type="pct"/>
            <w:shd w:val="clear" w:color="auto" w:fill="auto"/>
            <w:vAlign w:val="center"/>
          </w:tcPr>
          <w:p w14:paraId="5A78C553" w14:textId="77777777" w:rsidR="00D208AA" w:rsidRPr="00D636FC" w:rsidRDefault="00D208AA" w:rsidP="00EE068A">
            <w:pPr>
              <w:jc w:val="both"/>
            </w:pPr>
            <w:proofErr w:type="gramStart"/>
            <w:r w:rsidRPr="00D636FC"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  <w:proofErr w:type="gramEnd"/>
          </w:p>
        </w:tc>
        <w:tc>
          <w:tcPr>
            <w:tcW w:w="746" w:type="pct"/>
          </w:tcPr>
          <w:p w14:paraId="6636E3C2" w14:textId="77777777" w:rsidR="00D208AA" w:rsidRPr="00D636FC" w:rsidRDefault="00D208AA" w:rsidP="00EE068A">
            <w:pPr>
              <w:jc w:val="right"/>
            </w:pPr>
            <w:r>
              <w:t>3 204,8</w:t>
            </w:r>
          </w:p>
        </w:tc>
      </w:tr>
      <w:tr w:rsidR="00D208AA" w:rsidRPr="00D636FC" w14:paraId="3457CE35" w14:textId="77777777" w:rsidTr="00EE068A">
        <w:trPr>
          <w:trHeight w:val="70"/>
        </w:trPr>
        <w:tc>
          <w:tcPr>
            <w:tcW w:w="1194" w:type="pct"/>
            <w:shd w:val="clear" w:color="auto" w:fill="auto"/>
            <w:vAlign w:val="center"/>
          </w:tcPr>
          <w:p w14:paraId="56446983" w14:textId="77777777" w:rsidR="00D208AA" w:rsidRPr="00D636FC" w:rsidRDefault="00D208AA" w:rsidP="00EE068A">
            <w:pPr>
              <w:autoSpaceDE w:val="0"/>
              <w:autoSpaceDN w:val="0"/>
              <w:adjustRightInd w:val="0"/>
            </w:pPr>
            <w:r w:rsidRPr="00D636FC">
              <w:t>Жилье и городская среда</w:t>
            </w:r>
          </w:p>
        </w:tc>
        <w:tc>
          <w:tcPr>
            <w:tcW w:w="3060" w:type="pct"/>
            <w:shd w:val="clear" w:color="auto" w:fill="auto"/>
          </w:tcPr>
          <w:p w14:paraId="19909A4A" w14:textId="77777777" w:rsidR="00D208AA" w:rsidRPr="00D636FC" w:rsidRDefault="00D208AA" w:rsidP="00EE068A">
            <w:pPr>
              <w:jc w:val="both"/>
            </w:pPr>
            <w:r w:rsidRPr="00D636FC">
              <w:t>«Формирование комфортной городской среды»</w:t>
            </w:r>
          </w:p>
        </w:tc>
        <w:tc>
          <w:tcPr>
            <w:tcW w:w="746" w:type="pct"/>
          </w:tcPr>
          <w:p w14:paraId="5B7BB83C" w14:textId="77777777" w:rsidR="00D208AA" w:rsidRPr="00D636FC" w:rsidRDefault="00D208AA" w:rsidP="00EE068A">
            <w:pPr>
              <w:jc w:val="right"/>
            </w:pPr>
            <w:r>
              <w:t>56 779,6</w:t>
            </w:r>
          </w:p>
        </w:tc>
      </w:tr>
      <w:tr w:rsidR="00D208AA" w:rsidRPr="00D636FC" w14:paraId="0613D484" w14:textId="77777777" w:rsidTr="00EE068A">
        <w:trPr>
          <w:trHeight w:val="113"/>
        </w:trPr>
        <w:tc>
          <w:tcPr>
            <w:tcW w:w="4254" w:type="pct"/>
            <w:gridSpan w:val="2"/>
            <w:shd w:val="clear" w:color="auto" w:fill="auto"/>
            <w:vAlign w:val="center"/>
          </w:tcPr>
          <w:p w14:paraId="278E9D20" w14:textId="77777777" w:rsidR="00D208AA" w:rsidRPr="009A2078" w:rsidRDefault="00D208AA" w:rsidP="00EE068A">
            <w:pPr>
              <w:jc w:val="both"/>
              <w:rPr>
                <w:b/>
                <w:bCs/>
              </w:rPr>
            </w:pPr>
            <w:r w:rsidRPr="009A2078">
              <w:rPr>
                <w:b/>
                <w:bCs/>
              </w:rPr>
              <w:t>Итого</w:t>
            </w:r>
          </w:p>
        </w:tc>
        <w:tc>
          <w:tcPr>
            <w:tcW w:w="746" w:type="pct"/>
          </w:tcPr>
          <w:p w14:paraId="252E8E3F" w14:textId="77777777" w:rsidR="00D208AA" w:rsidRPr="009A2078" w:rsidRDefault="00D208AA" w:rsidP="00EE06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348 125,1</w:t>
            </w:r>
          </w:p>
        </w:tc>
      </w:tr>
    </w:tbl>
    <w:p w14:paraId="36626E96" w14:textId="77777777" w:rsidR="00D208AA" w:rsidRPr="00D208AA" w:rsidRDefault="00D208AA" w:rsidP="00D208AA">
      <w:pPr>
        <w:suppressAutoHyphens/>
        <w:ind w:firstLine="709"/>
        <w:jc w:val="both"/>
        <w:rPr>
          <w:bCs/>
          <w:sz w:val="16"/>
          <w:szCs w:val="16"/>
        </w:rPr>
      </w:pPr>
    </w:p>
    <w:p w14:paraId="78AFD8B0" w14:textId="77777777" w:rsidR="00D208AA" w:rsidRPr="006F4FC2" w:rsidRDefault="00D208AA" w:rsidP="00D208A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В структуре региональных проектов</w:t>
      </w:r>
      <w:r>
        <w:rPr>
          <w:noProof/>
          <w:sz w:val="28"/>
          <w:szCs w:val="28"/>
        </w:rPr>
        <w:t xml:space="preserve"> наибольшая </w:t>
      </w:r>
      <w:r w:rsidRPr="006D55DE">
        <w:rPr>
          <w:sz w:val="28"/>
          <w:szCs w:val="28"/>
        </w:rPr>
        <w:t>дол</w:t>
      </w:r>
      <w:r>
        <w:rPr>
          <w:sz w:val="28"/>
          <w:szCs w:val="28"/>
        </w:rPr>
        <w:t xml:space="preserve">я </w:t>
      </w:r>
      <w:r w:rsidRPr="006D55DE">
        <w:rPr>
          <w:sz w:val="28"/>
          <w:szCs w:val="28"/>
        </w:rPr>
        <w:t xml:space="preserve">бюджетных расходов </w:t>
      </w:r>
      <w:r>
        <w:rPr>
          <w:sz w:val="28"/>
          <w:szCs w:val="28"/>
        </w:rPr>
        <w:t>запланирована</w:t>
      </w:r>
      <w:r w:rsidRPr="006D55DE">
        <w:rPr>
          <w:sz w:val="28"/>
          <w:szCs w:val="28"/>
        </w:rPr>
        <w:t xml:space="preserve"> на реализацию</w:t>
      </w:r>
      <w:r>
        <w:rPr>
          <w:sz w:val="28"/>
          <w:szCs w:val="28"/>
        </w:rPr>
        <w:t xml:space="preserve"> регионального проекта </w:t>
      </w:r>
      <w:r w:rsidRPr="00A361F5">
        <w:rPr>
          <w:sz w:val="28"/>
          <w:szCs w:val="28"/>
        </w:rPr>
        <w:t xml:space="preserve">«Чистая страна» </w:t>
      </w:r>
      <w:r>
        <w:rPr>
          <w:sz w:val="28"/>
          <w:szCs w:val="28"/>
        </w:rPr>
        <w:t xml:space="preserve">- 71,8% и регионального проекта </w:t>
      </w:r>
      <w:r w:rsidRPr="00A361F5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 - 16,3%.</w:t>
      </w:r>
    </w:p>
    <w:p w14:paraId="0D18CB1B" w14:textId="77777777" w:rsidR="00D208AA" w:rsidRDefault="00D208AA" w:rsidP="00D208AA">
      <w:pPr>
        <w:pStyle w:val="a6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3A7333">
        <w:rPr>
          <w:sz w:val="28"/>
          <w:szCs w:val="28"/>
        </w:rPr>
        <w:lastRenderedPageBreak/>
        <w:t>Бюджетные ассигнования распределены между шестью главными распорядителями бюджетных средств, наибольшая доля которых запланирована Администрации ЗГО (71,8%), Управлению ЖКХ (17,3%).</w:t>
      </w:r>
    </w:p>
    <w:p w14:paraId="0B348555" w14:textId="77777777" w:rsidR="00D208AA" w:rsidRPr="003A7333" w:rsidRDefault="00D208AA" w:rsidP="00D208AA">
      <w:pPr>
        <w:pStyle w:val="a6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3A7333">
        <w:rPr>
          <w:color w:val="000000"/>
          <w:sz w:val="28"/>
          <w:szCs w:val="28"/>
        </w:rPr>
        <w:t>По итогам 1 квартала 2024 года уровень софинансирования расходов из бюджетов бюджетной системы на реализацию региональных проектов составил:</w:t>
      </w:r>
    </w:p>
    <w:p w14:paraId="78EBBC08" w14:textId="77777777" w:rsidR="00D208AA" w:rsidRDefault="00D208AA" w:rsidP="00D208A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федерального бюджета –76,8% (</w:t>
      </w:r>
      <w:r w:rsidRPr="006F4FC2">
        <w:rPr>
          <w:color w:val="000000"/>
          <w:sz w:val="28"/>
          <w:szCs w:val="28"/>
        </w:rPr>
        <w:t>267 206,7 тыс. рублей</w:t>
      </w:r>
      <w:r>
        <w:rPr>
          <w:color w:val="000000"/>
          <w:sz w:val="28"/>
          <w:szCs w:val="28"/>
        </w:rPr>
        <w:t>);</w:t>
      </w:r>
    </w:p>
    <w:p w14:paraId="06997AEB" w14:textId="77777777" w:rsidR="00D208AA" w:rsidRDefault="00D208AA" w:rsidP="00D208A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областного бюджета –17,6% (</w:t>
      </w:r>
      <w:r w:rsidRPr="006F4FC2">
        <w:rPr>
          <w:color w:val="000000"/>
          <w:sz w:val="28"/>
          <w:szCs w:val="28"/>
        </w:rPr>
        <w:t>61 467,9 тыс. рублей</w:t>
      </w:r>
      <w:r>
        <w:rPr>
          <w:color w:val="000000"/>
          <w:sz w:val="28"/>
          <w:szCs w:val="28"/>
        </w:rPr>
        <w:t>);</w:t>
      </w:r>
    </w:p>
    <w:p w14:paraId="490D2E29" w14:textId="77777777" w:rsidR="00D208AA" w:rsidRDefault="00D208AA" w:rsidP="00D208A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местного бюджета –5,6% (</w:t>
      </w:r>
      <w:r w:rsidRPr="006F4FC2">
        <w:rPr>
          <w:color w:val="000000"/>
          <w:sz w:val="28"/>
          <w:szCs w:val="28"/>
        </w:rPr>
        <w:t>19 450,5 тыс. рублей</w:t>
      </w:r>
      <w:r>
        <w:rPr>
          <w:color w:val="000000"/>
          <w:sz w:val="28"/>
          <w:szCs w:val="28"/>
        </w:rPr>
        <w:t>).</w:t>
      </w:r>
    </w:p>
    <w:p w14:paraId="19B0BBDB" w14:textId="77777777" w:rsidR="00D208AA" w:rsidRPr="006F4FC2" w:rsidRDefault="00D208AA" w:rsidP="00D208A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4FC2">
        <w:rPr>
          <w:sz w:val="28"/>
          <w:szCs w:val="28"/>
        </w:rPr>
        <w:t>В рамках реализации региональных проектов за 1 квартал 202</w:t>
      </w:r>
      <w:r>
        <w:rPr>
          <w:sz w:val="28"/>
          <w:szCs w:val="28"/>
        </w:rPr>
        <w:t>4</w:t>
      </w:r>
      <w:r w:rsidRPr="006F4FC2">
        <w:rPr>
          <w:sz w:val="28"/>
          <w:szCs w:val="28"/>
        </w:rPr>
        <w:t xml:space="preserve"> г.  кассовое исполнение расходов составило </w:t>
      </w:r>
      <w:r>
        <w:rPr>
          <w:sz w:val="28"/>
          <w:szCs w:val="28"/>
        </w:rPr>
        <w:t>5 981,9</w:t>
      </w:r>
      <w:r w:rsidRPr="006F4FC2">
        <w:rPr>
          <w:sz w:val="28"/>
          <w:szCs w:val="28"/>
        </w:rPr>
        <w:t xml:space="preserve"> тыс. рублей (или </w:t>
      </w:r>
      <w:r>
        <w:rPr>
          <w:sz w:val="28"/>
          <w:szCs w:val="28"/>
        </w:rPr>
        <w:t>1,7</w:t>
      </w:r>
      <w:r w:rsidRPr="006F4FC2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                     </w:t>
      </w:r>
      <w:r w:rsidRPr="006F4FC2">
        <w:rPr>
          <w:sz w:val="28"/>
          <w:szCs w:val="28"/>
        </w:rPr>
        <w:t>от годового планового объема)</w:t>
      </w:r>
      <w:bookmarkStart w:id="0" w:name="_Hlk66191298"/>
      <w:r>
        <w:rPr>
          <w:sz w:val="28"/>
          <w:szCs w:val="28"/>
        </w:rPr>
        <w:t>:</w:t>
      </w:r>
    </w:p>
    <w:p w14:paraId="2C2375AF" w14:textId="77777777" w:rsidR="00D208AA" w:rsidRDefault="00D208AA" w:rsidP="00D208A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2D7">
        <w:rPr>
          <w:bCs/>
          <w:sz w:val="28"/>
          <w:szCs w:val="28"/>
        </w:rPr>
        <w:t>«Патриотическое воспитание граждан РФ»</w:t>
      </w:r>
      <w:r>
        <w:rPr>
          <w:bCs/>
          <w:sz w:val="28"/>
          <w:szCs w:val="28"/>
        </w:rPr>
        <w:t xml:space="preserve"> - 20% от плана на год;</w:t>
      </w:r>
    </w:p>
    <w:p w14:paraId="67668C18" w14:textId="77777777" w:rsidR="00D208AA" w:rsidRDefault="00D208AA" w:rsidP="00D208A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2D7">
        <w:rPr>
          <w:bCs/>
          <w:sz w:val="28"/>
          <w:szCs w:val="28"/>
        </w:rPr>
        <w:t>«Социальная активность»</w:t>
      </w:r>
      <w:r>
        <w:rPr>
          <w:bCs/>
          <w:sz w:val="28"/>
          <w:szCs w:val="28"/>
        </w:rPr>
        <w:t xml:space="preserve"> - 97,5% от плана на год;</w:t>
      </w:r>
    </w:p>
    <w:p w14:paraId="64196688" w14:textId="77777777" w:rsidR="00D208AA" w:rsidRDefault="00D208AA" w:rsidP="00D208A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«Культурная среда» - 1,8% от годового плана; </w:t>
      </w:r>
    </w:p>
    <w:p w14:paraId="3D7F6C3D" w14:textId="3BA67B84" w:rsidR="00D208AA" w:rsidRPr="005D72D7" w:rsidRDefault="00D208AA" w:rsidP="00D208A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750FE">
        <w:rPr>
          <w:bCs/>
          <w:sz w:val="28"/>
          <w:szCs w:val="28"/>
        </w:rPr>
        <w:t> </w:t>
      </w:r>
      <w:r w:rsidRPr="005D72D7">
        <w:rPr>
          <w:bCs/>
          <w:sz w:val="28"/>
          <w:szCs w:val="28"/>
        </w:rPr>
        <w:t xml:space="preserve">«Разработка и реализация программы системной поддержки </w:t>
      </w:r>
      <w:r w:rsidR="00E844A8">
        <w:rPr>
          <w:bCs/>
          <w:sz w:val="28"/>
          <w:szCs w:val="28"/>
        </w:rPr>
        <w:t xml:space="preserve">                       </w:t>
      </w:r>
      <w:r w:rsidRPr="005D72D7">
        <w:rPr>
          <w:bCs/>
          <w:sz w:val="28"/>
          <w:szCs w:val="28"/>
        </w:rPr>
        <w:t>и повышения качества жизни граждан старшего поколения»</w:t>
      </w:r>
      <w:r>
        <w:rPr>
          <w:bCs/>
          <w:sz w:val="28"/>
          <w:szCs w:val="28"/>
        </w:rPr>
        <w:t xml:space="preserve"> - 33,3% от плана </w:t>
      </w:r>
      <w:r w:rsidR="00E8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E844A8">
        <w:rPr>
          <w:bCs/>
          <w:sz w:val="28"/>
          <w:szCs w:val="28"/>
        </w:rPr>
        <w:t xml:space="preserve">2024 </w:t>
      </w:r>
      <w:r>
        <w:rPr>
          <w:bCs/>
          <w:sz w:val="28"/>
          <w:szCs w:val="28"/>
        </w:rPr>
        <w:t>год;</w:t>
      </w:r>
    </w:p>
    <w:p w14:paraId="5C682B29" w14:textId="77777777" w:rsidR="00D208AA" w:rsidRDefault="00D208AA" w:rsidP="00D208A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2D7">
        <w:rPr>
          <w:bCs/>
          <w:sz w:val="28"/>
          <w:szCs w:val="28"/>
        </w:rPr>
        <w:t>«Финансовая поддержка семей при рождении детей»</w:t>
      </w:r>
      <w:r>
        <w:rPr>
          <w:bCs/>
          <w:sz w:val="28"/>
          <w:szCs w:val="28"/>
        </w:rPr>
        <w:t xml:space="preserve"> - 23,3% от плана.</w:t>
      </w:r>
    </w:p>
    <w:p w14:paraId="234CBD48" w14:textId="77777777" w:rsidR="00D208AA" w:rsidRPr="00DB5DDA" w:rsidRDefault="00D208AA" w:rsidP="00D208A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DB5DDA">
        <w:rPr>
          <w:bCs/>
          <w:sz w:val="28"/>
          <w:szCs w:val="28"/>
        </w:rPr>
        <w:t xml:space="preserve"> Уровень контрактации за 1 квартал 202</w:t>
      </w:r>
      <w:r>
        <w:rPr>
          <w:bCs/>
          <w:sz w:val="28"/>
          <w:szCs w:val="28"/>
        </w:rPr>
        <w:t>4</w:t>
      </w:r>
      <w:r w:rsidRPr="00DB5DDA">
        <w:rPr>
          <w:bCs/>
          <w:sz w:val="28"/>
          <w:szCs w:val="28"/>
        </w:rPr>
        <w:t>г. является достаточно высоким и составляет 9</w:t>
      </w:r>
      <w:r>
        <w:rPr>
          <w:bCs/>
          <w:sz w:val="28"/>
          <w:szCs w:val="28"/>
        </w:rPr>
        <w:t>6,7</w:t>
      </w:r>
      <w:r w:rsidRPr="00DB5DDA">
        <w:rPr>
          <w:bCs/>
          <w:sz w:val="28"/>
          <w:szCs w:val="28"/>
        </w:rPr>
        <w:t>% от годового плана.</w:t>
      </w:r>
      <w:r>
        <w:rPr>
          <w:bCs/>
          <w:sz w:val="28"/>
          <w:szCs w:val="28"/>
        </w:rPr>
        <w:t xml:space="preserve"> </w:t>
      </w:r>
    </w:p>
    <w:bookmarkEnd w:id="0"/>
    <w:p w14:paraId="52063086" w14:textId="77777777" w:rsidR="00D208AA" w:rsidRPr="00FF4761" w:rsidRDefault="00D208AA" w:rsidP="00D208AA">
      <w:pPr>
        <w:suppressAutoHyphens/>
        <w:ind w:firstLine="709"/>
        <w:jc w:val="both"/>
        <w:rPr>
          <w:bCs/>
          <w:sz w:val="28"/>
          <w:szCs w:val="28"/>
        </w:rPr>
      </w:pPr>
      <w:r w:rsidRPr="00B13DBC">
        <w:rPr>
          <w:bCs/>
          <w:sz w:val="28"/>
          <w:szCs w:val="28"/>
        </w:rPr>
        <w:t>По состоянию на 31.03.202</w:t>
      </w:r>
      <w:r>
        <w:rPr>
          <w:bCs/>
          <w:sz w:val="28"/>
          <w:szCs w:val="28"/>
        </w:rPr>
        <w:t>4</w:t>
      </w:r>
      <w:r w:rsidRPr="00B13DBC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Управлением спорта не заключены соглашения</w:t>
      </w:r>
      <w:r w:rsidRPr="00FF4761">
        <w:rPr>
          <w:bCs/>
          <w:sz w:val="28"/>
          <w:szCs w:val="28"/>
        </w:rPr>
        <w:t xml:space="preserve"> о предоставлении </w:t>
      </w:r>
      <w:r>
        <w:rPr>
          <w:bCs/>
          <w:sz w:val="28"/>
          <w:szCs w:val="28"/>
        </w:rPr>
        <w:t xml:space="preserve">подведомственным </w:t>
      </w:r>
      <w:r w:rsidRPr="00FF4761">
        <w:rPr>
          <w:bCs/>
          <w:sz w:val="28"/>
          <w:szCs w:val="28"/>
        </w:rPr>
        <w:t>учреждениям спорта субсидий на государственную поддержку организаций, входящих в систему спортивной подготовки</w:t>
      </w:r>
      <w:r>
        <w:rPr>
          <w:bCs/>
          <w:sz w:val="28"/>
          <w:szCs w:val="28"/>
        </w:rPr>
        <w:t>.</w:t>
      </w:r>
    </w:p>
    <w:p w14:paraId="52805574" w14:textId="77777777" w:rsidR="00D208AA" w:rsidRPr="00B13DBC" w:rsidRDefault="00D208AA" w:rsidP="00D208A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13DBC">
        <w:rPr>
          <w:color w:val="000000"/>
          <w:sz w:val="28"/>
          <w:szCs w:val="28"/>
        </w:rPr>
        <w:t xml:space="preserve">По результатам осуществления конкурентных способов закупки экономия средств бюджета, предусмотренных на реализацию региональных проектов, составила в общей сумме </w:t>
      </w:r>
      <w:r>
        <w:rPr>
          <w:color w:val="000000"/>
          <w:sz w:val="28"/>
          <w:szCs w:val="28"/>
        </w:rPr>
        <w:t>6 845,2</w:t>
      </w:r>
      <w:r w:rsidRPr="00B13DBC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  <w:r w:rsidRPr="00B13DBC"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p w14:paraId="205B15A4" w14:textId="77777777" w:rsidR="00D208AA" w:rsidRPr="00B13DBC" w:rsidRDefault="00D208AA" w:rsidP="00D208AA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B13DBC">
        <w:rPr>
          <w:color w:val="000000"/>
          <w:sz w:val="28"/>
          <w:szCs w:val="28"/>
        </w:rPr>
        <w:t>Исходя из условий заключенных контрактов основная часть кассовых расходов участников бюджетного процесса ожидается</w:t>
      </w:r>
      <w:proofErr w:type="gramEnd"/>
      <w:r w:rsidRPr="00B13DB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4</w:t>
      </w:r>
      <w:r w:rsidRPr="00B13DBC">
        <w:rPr>
          <w:color w:val="000000"/>
          <w:sz w:val="28"/>
          <w:szCs w:val="28"/>
        </w:rPr>
        <w:t xml:space="preserve"> квартале </w:t>
      </w:r>
      <w:r>
        <w:rPr>
          <w:color w:val="000000"/>
          <w:sz w:val="28"/>
          <w:szCs w:val="28"/>
        </w:rPr>
        <w:t xml:space="preserve">2024 г. </w:t>
      </w:r>
      <w:r w:rsidRPr="00B13DB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71,5</w:t>
      </w:r>
      <w:r w:rsidRPr="00B13DBC">
        <w:rPr>
          <w:color w:val="000000"/>
          <w:sz w:val="28"/>
          <w:szCs w:val="28"/>
        </w:rPr>
        <w:t>% от годового плана)</w:t>
      </w:r>
      <w:r>
        <w:rPr>
          <w:color w:val="000000"/>
          <w:sz w:val="28"/>
          <w:szCs w:val="28"/>
        </w:rPr>
        <w:t>, в основном за счет оплаты расходов регионального проекта «Чистая стана».</w:t>
      </w:r>
    </w:p>
    <w:p w14:paraId="2C013237" w14:textId="77777777" w:rsidR="005C5FB4" w:rsidRDefault="005C5FB4" w:rsidP="005C5FB4">
      <w:pPr>
        <w:ind w:firstLine="567"/>
        <w:jc w:val="both"/>
        <w:rPr>
          <w:sz w:val="28"/>
          <w:szCs w:val="28"/>
        </w:rPr>
      </w:pPr>
    </w:p>
    <w:p w14:paraId="44F03F0C" w14:textId="77777777" w:rsidR="005C5FB4" w:rsidRDefault="005C5FB4" w:rsidP="005C5FB4">
      <w:pPr>
        <w:pStyle w:val="a3"/>
        <w:tabs>
          <w:tab w:val="left" w:pos="1496"/>
        </w:tabs>
        <w:rPr>
          <w:sz w:val="28"/>
          <w:szCs w:val="28"/>
        </w:rPr>
      </w:pPr>
    </w:p>
    <w:p w14:paraId="4FAF8BBF" w14:textId="77777777" w:rsidR="005C5FB4" w:rsidRDefault="005C5FB4" w:rsidP="005C5FB4">
      <w:pPr>
        <w:pStyle w:val="a3"/>
        <w:tabs>
          <w:tab w:val="left" w:pos="1496"/>
        </w:tabs>
        <w:rPr>
          <w:sz w:val="28"/>
          <w:szCs w:val="28"/>
        </w:rPr>
      </w:pPr>
    </w:p>
    <w:p w14:paraId="1C90F6CE" w14:textId="77777777" w:rsidR="005C5FB4" w:rsidRPr="00554F0B" w:rsidRDefault="005C5FB4" w:rsidP="005C5FB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Кальчук</w:t>
      </w:r>
      <w:proofErr w:type="spellEnd"/>
      <w:r>
        <w:rPr>
          <w:sz w:val="28"/>
          <w:szCs w:val="28"/>
        </w:rPr>
        <w:t xml:space="preserve"> </w:t>
      </w:r>
      <w:r w:rsidRPr="00554F0B">
        <w:rPr>
          <w:sz w:val="28"/>
          <w:szCs w:val="28"/>
        </w:rPr>
        <w:t xml:space="preserve"> </w:t>
      </w:r>
    </w:p>
    <w:p w14:paraId="381370E2" w14:textId="77777777" w:rsidR="005C5FB4" w:rsidRDefault="005C5FB4" w:rsidP="005C5FB4">
      <w:pPr>
        <w:rPr>
          <w:b/>
          <w:sz w:val="24"/>
          <w:szCs w:val="24"/>
        </w:rPr>
      </w:pPr>
    </w:p>
    <w:p w14:paraId="5CDE5E80" w14:textId="77777777" w:rsidR="005C5FB4" w:rsidRDefault="005C5FB4" w:rsidP="005C5FB4">
      <w:pPr>
        <w:rPr>
          <w:b/>
          <w:sz w:val="24"/>
          <w:szCs w:val="24"/>
        </w:rPr>
      </w:pPr>
    </w:p>
    <w:p w14:paraId="59DC2A84" w14:textId="77777777" w:rsidR="005C5FB4" w:rsidRDefault="005C5FB4" w:rsidP="005C5FB4">
      <w:pPr>
        <w:rPr>
          <w:b/>
          <w:sz w:val="24"/>
          <w:szCs w:val="24"/>
        </w:rPr>
      </w:pPr>
    </w:p>
    <w:p w14:paraId="6E57F7DF" w14:textId="77777777" w:rsidR="005C5FB4" w:rsidRDefault="005C5FB4" w:rsidP="005C5FB4">
      <w:pPr>
        <w:rPr>
          <w:b/>
          <w:sz w:val="24"/>
          <w:szCs w:val="24"/>
        </w:rPr>
      </w:pPr>
    </w:p>
    <w:p w14:paraId="3FCD11C2" w14:textId="77777777" w:rsidR="005C5FB4" w:rsidRDefault="005C5FB4"/>
    <w:sectPr w:rsidR="005C5FB4" w:rsidSect="00086570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7AB53" w14:textId="77777777" w:rsidR="00B15502" w:rsidRDefault="00B15502" w:rsidP="00086570">
      <w:r>
        <w:separator/>
      </w:r>
    </w:p>
  </w:endnote>
  <w:endnote w:type="continuationSeparator" w:id="0">
    <w:p w14:paraId="7B36CF3F" w14:textId="77777777" w:rsidR="00B15502" w:rsidRDefault="00B15502" w:rsidP="0008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616C1" w14:textId="77777777" w:rsidR="00B15502" w:rsidRDefault="00B15502" w:rsidP="00086570">
      <w:r>
        <w:separator/>
      </w:r>
    </w:p>
  </w:footnote>
  <w:footnote w:type="continuationSeparator" w:id="0">
    <w:p w14:paraId="711A8523" w14:textId="77777777" w:rsidR="00B15502" w:rsidRDefault="00B15502" w:rsidP="0008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F82"/>
    <w:multiLevelType w:val="hybridMultilevel"/>
    <w:tmpl w:val="7FE26F34"/>
    <w:lvl w:ilvl="0" w:tplc="FE5475E4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F54A81"/>
    <w:multiLevelType w:val="hybridMultilevel"/>
    <w:tmpl w:val="D7A67B0E"/>
    <w:lvl w:ilvl="0" w:tplc="15301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4"/>
    <w:rsid w:val="00086570"/>
    <w:rsid w:val="002C210F"/>
    <w:rsid w:val="005C5FB4"/>
    <w:rsid w:val="008E0822"/>
    <w:rsid w:val="00A750FE"/>
    <w:rsid w:val="00B15502"/>
    <w:rsid w:val="00D208AA"/>
    <w:rsid w:val="00E844A8"/>
    <w:rsid w:val="00E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9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86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5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86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5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ramnews.ru/wp-content/uploads/2021/02/nac_proekty_logo_sin_prav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2023-05-11T06:21:00Z</dcterms:created>
  <dcterms:modified xsi:type="dcterms:W3CDTF">2024-05-28T09:14:00Z</dcterms:modified>
</cp:coreProperties>
</file>